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DF" w:rsidRPr="006666DF" w:rsidRDefault="006666DF" w:rsidP="006666D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66DF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  <w:bookmarkStart w:id="0" w:name="_GoBack"/>
      <w:bookmarkEnd w:id="0"/>
    </w:p>
    <w:p w:rsidR="006666DF" w:rsidRPr="006666DF" w:rsidRDefault="006666DF" w:rsidP="006666D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66DF">
        <w:rPr>
          <w:rFonts w:ascii="Times New Roman" w:hAnsi="Times New Roman" w:cs="Times New Roman"/>
          <w:sz w:val="24"/>
          <w:szCs w:val="24"/>
          <w:lang w:eastAsia="ru-RU"/>
        </w:rPr>
        <w:t>«Средняя общеобразовательная школа № 115 г. Челябинска»</w:t>
      </w:r>
    </w:p>
    <w:p w:rsidR="006666DF" w:rsidRPr="006666DF" w:rsidRDefault="006666DF" w:rsidP="006666D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66DF">
        <w:rPr>
          <w:rFonts w:ascii="Times New Roman" w:hAnsi="Times New Roman" w:cs="Times New Roman"/>
          <w:sz w:val="24"/>
          <w:szCs w:val="24"/>
          <w:lang w:eastAsia="ru-RU"/>
        </w:rPr>
        <w:t>(МБОУ «СОШ № 115г.Челябинска»)</w:t>
      </w:r>
    </w:p>
    <w:p w:rsidR="006666DF" w:rsidRDefault="006666DF" w:rsidP="006666DF">
      <w:pPr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666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Аналитическая справка по результатам проведения мониторинга индивидуальных достижений, обучающихся 7 классов при освоении образовательных программ основного общего образования </w:t>
      </w:r>
    </w:p>
    <w:p w:rsidR="006666DF" w:rsidRPr="006666DF" w:rsidRDefault="006666DF" w:rsidP="006666DF">
      <w:pPr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666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за 2021-2022 учебный год</w:t>
      </w:r>
    </w:p>
    <w:p w:rsidR="003B7383" w:rsidRPr="006666DF" w:rsidRDefault="003B7383" w:rsidP="003B7383">
      <w:pPr>
        <w:spacing w:before="20" w:after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b/>
          <w:sz w:val="26"/>
          <w:szCs w:val="26"/>
        </w:rPr>
        <w:t>Организация учебно-исследовательской и проектной деятельности</w:t>
      </w:r>
    </w:p>
    <w:p w:rsidR="003B7383" w:rsidRPr="006666DF" w:rsidRDefault="003B7383" w:rsidP="001909D6">
      <w:pPr>
        <w:spacing w:before="20" w:after="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>Диагностика уровня индивидуальных достижений (</w:t>
      </w:r>
      <w:proofErr w:type="spellStart"/>
      <w:r w:rsidRPr="006666DF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6666DF">
        <w:rPr>
          <w:rFonts w:ascii="Times New Roman" w:hAnsi="Times New Roman" w:cs="Times New Roman"/>
          <w:sz w:val="26"/>
          <w:szCs w:val="26"/>
        </w:rPr>
        <w:t xml:space="preserve"> планируемых результатов и функциональной грамотности) обучающихся 7-х классов при освоении образовательных программ в соответствии с федеральным государственным образовательным стандартом основного общего образования (далее – ФГОС ООО) в 2021-2022 учебном году проводились в соответствии с приказом Министерства образования и науки Челябинской области от 07.12.2021 г. № 03/3113 (дал</w:t>
      </w:r>
      <w:r w:rsidR="001909D6" w:rsidRPr="006666DF">
        <w:rPr>
          <w:rFonts w:ascii="Times New Roman" w:hAnsi="Times New Roman" w:cs="Times New Roman"/>
          <w:sz w:val="26"/>
          <w:szCs w:val="26"/>
        </w:rPr>
        <w:t>ее – индивидуальный проект)</w:t>
      </w:r>
    </w:p>
    <w:p w:rsidR="003B7383" w:rsidRPr="006666DF" w:rsidRDefault="001909D6" w:rsidP="001909D6">
      <w:pPr>
        <w:spacing w:before="20" w:after="20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Цель: </w:t>
      </w:r>
      <w:r w:rsidR="003B7383" w:rsidRPr="006666DF">
        <w:rPr>
          <w:rFonts w:ascii="Times New Roman" w:hAnsi="Times New Roman" w:cs="Times New Roman"/>
          <w:sz w:val="26"/>
          <w:szCs w:val="26"/>
        </w:rPr>
        <w:t xml:space="preserve">осуществить сбор данных о достижении </w:t>
      </w:r>
      <w:proofErr w:type="spellStart"/>
      <w:r w:rsidR="003B7383" w:rsidRPr="006666DF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="003B7383" w:rsidRPr="006666DF">
        <w:rPr>
          <w:rFonts w:ascii="Times New Roman" w:hAnsi="Times New Roman" w:cs="Times New Roman"/>
          <w:sz w:val="26"/>
          <w:szCs w:val="26"/>
        </w:rPr>
        <w:t xml:space="preserve"> планируемых результатов и функциональной грамотности обучающихся при освоении образовательных программ в соответствии с ФГОС ООО;</w:t>
      </w:r>
    </w:p>
    <w:p w:rsidR="001909D6" w:rsidRPr="006666DF" w:rsidRDefault="001909D6" w:rsidP="001909D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 xml:space="preserve">В рамках данного мероприятия на базе школы были организованы инструктивно-методические совещания по обучению и консультированию педагогов. </w:t>
      </w:r>
    </w:p>
    <w:p w:rsidR="001909D6" w:rsidRPr="006666DF" w:rsidRDefault="001909D6" w:rsidP="001909D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 xml:space="preserve">Был составлен график </w:t>
      </w:r>
      <w:proofErr w:type="gramStart"/>
      <w:r w:rsidRPr="006666DF">
        <w:rPr>
          <w:rFonts w:ascii="Times New Roman" w:eastAsia="Times New Roman" w:hAnsi="Times New Roman" w:cs="Times New Roman"/>
          <w:sz w:val="26"/>
          <w:szCs w:val="26"/>
        </w:rPr>
        <w:t>консультаций</w:t>
      </w:r>
      <w:proofErr w:type="gramEnd"/>
      <w:r w:rsidRPr="006666DF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с педагогами. </w:t>
      </w:r>
    </w:p>
    <w:p w:rsidR="003B7383" w:rsidRPr="006666DF" w:rsidRDefault="001909D6" w:rsidP="001909D6">
      <w:pPr>
        <w:pStyle w:val="a3"/>
        <w:spacing w:before="20" w:after="20"/>
        <w:ind w:left="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B7383" w:rsidRPr="006666DF">
        <w:rPr>
          <w:rFonts w:ascii="Times New Roman" w:eastAsia="Times New Roman" w:hAnsi="Times New Roman" w:cs="Times New Roman"/>
          <w:sz w:val="26"/>
          <w:szCs w:val="26"/>
        </w:rPr>
        <w:t>се учащиеся 7-х классов выбрали темы проектов (из предложенных 200 тем), выбрали наставников (учителей-предметников) и занимались учебно-исследовательской деятельностью в течение 3 месяцев. Результатом данной работы было: защита проектов</w:t>
      </w:r>
      <w:r w:rsidRPr="006666DF">
        <w:rPr>
          <w:rFonts w:ascii="Times New Roman" w:eastAsia="Times New Roman" w:hAnsi="Times New Roman" w:cs="Times New Roman"/>
          <w:sz w:val="26"/>
          <w:szCs w:val="26"/>
        </w:rPr>
        <w:t>, представление своего продукта, создание презентации.</w:t>
      </w:r>
    </w:p>
    <w:p w:rsidR="003B7383" w:rsidRPr="006666DF" w:rsidRDefault="003B7383" w:rsidP="003B7383">
      <w:pPr>
        <w:spacing w:before="20" w:after="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По результатам выполнения ИП определены уровни достижения обучающимися 7-х классов </w:t>
      </w:r>
      <w:proofErr w:type="spellStart"/>
      <w:r w:rsidRPr="006666DF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6666DF">
        <w:rPr>
          <w:rFonts w:ascii="Times New Roman" w:hAnsi="Times New Roman" w:cs="Times New Roman"/>
          <w:sz w:val="26"/>
          <w:szCs w:val="26"/>
        </w:rPr>
        <w:t xml:space="preserve"> планируемых результатов освоения основной образовательной программы в соответствии с федеральным государственным образовательным стандартом основного общего образования</w:t>
      </w:r>
    </w:p>
    <w:p w:rsidR="003B7383" w:rsidRPr="006666DF" w:rsidRDefault="003B7383" w:rsidP="003B7383">
      <w:pPr>
        <w:spacing w:before="20" w:after="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Для получения информации об уровне достижения </w:t>
      </w:r>
      <w:proofErr w:type="spellStart"/>
      <w:r w:rsidRPr="006666DF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6666DF">
        <w:rPr>
          <w:rFonts w:ascii="Times New Roman" w:hAnsi="Times New Roman" w:cs="Times New Roman"/>
          <w:sz w:val="26"/>
          <w:szCs w:val="26"/>
        </w:rPr>
        <w:t xml:space="preserve"> универсальных учебных действий у обучающихся по основной образовательной программе в соответствии с ФГОС основного общего образования использовалась уровневая шкала – «повышенный», «базовый» или «недостаточный» уровень. Максимальное количество баллов – 54 (баллы, выставленные наставником и экспертной комиссии), при этом не учитывались УУД, отражающее предметное содержание в заданном контексте. Для оценивания уровня достижения читательской функциональной грамотности обучающихся использовалась аналогичная уровневая шкала. Максимальный балл – 32</w:t>
      </w:r>
    </w:p>
    <w:p w:rsidR="003B7383" w:rsidRDefault="003B7383" w:rsidP="003B7383">
      <w:pPr>
        <w:spacing w:before="20" w:after="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66DF" w:rsidRDefault="006666DF" w:rsidP="003B7383">
      <w:pPr>
        <w:spacing w:before="20" w:after="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66DF" w:rsidRDefault="006666DF" w:rsidP="003B7383">
      <w:pPr>
        <w:spacing w:before="20" w:after="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66DF" w:rsidRPr="006666DF" w:rsidRDefault="006666DF" w:rsidP="003B7383">
      <w:pPr>
        <w:spacing w:before="20" w:after="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383" w:rsidRPr="006666DF" w:rsidRDefault="003B7383" w:rsidP="003B7383">
      <w:pPr>
        <w:spacing w:before="20" w:after="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6DF">
        <w:rPr>
          <w:rFonts w:ascii="Times New Roman" w:hAnsi="Times New Roman" w:cs="Times New Roman"/>
          <w:b/>
          <w:sz w:val="26"/>
          <w:szCs w:val="26"/>
        </w:rPr>
        <w:t xml:space="preserve">Информация об уровне </w:t>
      </w:r>
      <w:proofErr w:type="spellStart"/>
      <w:r w:rsidRPr="006666DF">
        <w:rPr>
          <w:rFonts w:ascii="Times New Roman" w:hAnsi="Times New Roman" w:cs="Times New Roman"/>
          <w:b/>
          <w:sz w:val="26"/>
          <w:szCs w:val="26"/>
        </w:rPr>
        <w:t>сформированности</w:t>
      </w:r>
      <w:proofErr w:type="spellEnd"/>
      <w:r w:rsidRPr="006666DF">
        <w:rPr>
          <w:rFonts w:ascii="Times New Roman" w:hAnsi="Times New Roman" w:cs="Times New Roman"/>
          <w:b/>
          <w:sz w:val="26"/>
          <w:szCs w:val="26"/>
        </w:rPr>
        <w:t xml:space="preserve"> УУД обучающихся 7-х классов </w:t>
      </w:r>
    </w:p>
    <w:p w:rsidR="003B7383" w:rsidRPr="006666DF" w:rsidRDefault="003B7383" w:rsidP="003B7383">
      <w:pPr>
        <w:spacing w:before="20" w:after="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3B7383" w:rsidRPr="006666DF" w:rsidTr="007F7A27"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2802" w:type="dxa"/>
            <w:gridSpan w:val="3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Регулятивные %</w:t>
            </w:r>
          </w:p>
        </w:tc>
        <w:tc>
          <w:tcPr>
            <w:tcW w:w="2804" w:type="dxa"/>
            <w:gridSpan w:val="3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Познавательные %</w:t>
            </w:r>
          </w:p>
        </w:tc>
        <w:tc>
          <w:tcPr>
            <w:tcW w:w="2805" w:type="dxa"/>
            <w:gridSpan w:val="3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Коммуникативные%</w:t>
            </w:r>
          </w:p>
        </w:tc>
      </w:tr>
      <w:tr w:rsidR="003B7383" w:rsidRPr="006666DF" w:rsidTr="003B7383"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</w:p>
        </w:tc>
      </w:tr>
      <w:tr w:rsidR="003B7383" w:rsidRPr="006666DF" w:rsidTr="003B7383"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59,42</w:t>
            </w: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34,78</w:t>
            </w: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5,80</w:t>
            </w:r>
          </w:p>
        </w:tc>
        <w:tc>
          <w:tcPr>
            <w:tcW w:w="934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49,28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39,13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11,59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47,83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47,83</w:t>
            </w:r>
          </w:p>
        </w:tc>
        <w:tc>
          <w:tcPr>
            <w:tcW w:w="935" w:type="dxa"/>
          </w:tcPr>
          <w:p w:rsidR="003B7383" w:rsidRPr="006666DF" w:rsidRDefault="003B7383" w:rsidP="003B738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6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4,35 </w:t>
            </w:r>
          </w:p>
        </w:tc>
      </w:tr>
    </w:tbl>
    <w:p w:rsidR="003B7383" w:rsidRPr="006666DF" w:rsidRDefault="003B7383" w:rsidP="003B7383">
      <w:pPr>
        <w:spacing w:before="20" w:after="2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3B7383" w:rsidRPr="006666DF" w:rsidRDefault="003B7383" w:rsidP="003B7383">
      <w:pPr>
        <w:spacing w:before="20" w:after="2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>Б-Базовый уровень</w:t>
      </w:r>
    </w:p>
    <w:p w:rsidR="003B7383" w:rsidRPr="006666DF" w:rsidRDefault="003B7383" w:rsidP="003B7383">
      <w:pPr>
        <w:spacing w:before="20" w:after="2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>П-Повышенный уровень</w:t>
      </w:r>
    </w:p>
    <w:p w:rsidR="001909D6" w:rsidRPr="006666DF" w:rsidRDefault="003B7383" w:rsidP="001909D6">
      <w:pPr>
        <w:spacing w:before="20" w:after="2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 xml:space="preserve">Н-недостаточный уровень </w:t>
      </w:r>
    </w:p>
    <w:p w:rsidR="003B7383" w:rsidRPr="006666DF" w:rsidRDefault="003B7383" w:rsidP="003B7383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909D6" w:rsidRPr="006666DF" w:rsidRDefault="001909D6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Оценочная процедура в 2021/22 учебном году была обязательной для всех обучающихся 7-х классов ОО Челябинской области, реализующих общеобразовательные программы основного общего образования, и прошла в штатном режиме. </w:t>
      </w: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Методические рекомендации для учителей по формированию математической грамотности обучающихся </w:t>
      </w: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Необходимо: </w:t>
      </w: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–проводить работу с обучающимися по целенаправленному формированию у них следующих мыслительных процессов математической грамотности (компетенций): применять математические понятия, факты, процедуры; формулировать ситуацию математически; интерпретировать, использовать и оценивать математические результаты. </w:t>
      </w: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>- выстраивать поэтапное освоение базового уровня естественнонаучной грамотности;</w:t>
      </w: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 –продолжать демонстрировать те компетенции, которые позволяют им успешно и эффективно функционировать во взрослой жизни; – систематически погружать в деятельность по объяснению процессов и явлений в знакомых ситуациях на основе имеющихся научных знаний;</w:t>
      </w:r>
    </w:p>
    <w:p w:rsidR="009B3A85" w:rsidRPr="006666DF" w:rsidRDefault="009B3A85" w:rsidP="009B3A8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 – учиться делать выводы на основе простых исследований, устанавливать прямые связи и буквально интерпретировать результаты исследований или технологические решения. </w:t>
      </w: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– вести целенаправленную работу по включению обучающихся в решение проектных и исследовательских задач в рамках разных предметов для повышения мотивации учащихся к решению финансовых задач и уровня их самоопределения в жизни; – анализировать информацию на применение в жизни финансовыми продуктами, такими, как дебетовая карта, банковский счёт, совершение покупок в режиме онлайн, на проявление финансового поведения: отслеживать баланс своего </w:t>
      </w:r>
      <w:r w:rsidRPr="006666DF">
        <w:rPr>
          <w:rFonts w:ascii="Times New Roman" w:hAnsi="Times New Roman" w:cs="Times New Roman"/>
          <w:sz w:val="26"/>
          <w:szCs w:val="26"/>
        </w:rPr>
        <w:lastRenderedPageBreak/>
        <w:t>счёта, расплачиваться дебетовой картой вместо наличных денег, проверять правильность сдачи;</w:t>
      </w:r>
    </w:p>
    <w:p w:rsidR="009B3A85" w:rsidRPr="006666DF" w:rsidRDefault="009B3A85" w:rsidP="003B738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 xml:space="preserve">-целенаправленно формировать у обучающихся критическое мышление, а именно собственное мнение по вопросам, касающимся содержательной стороны глобальных компетенций для использования полученных знаний о глобальных проблемах и межкультурном взаимодействии; </w:t>
      </w:r>
    </w:p>
    <w:p w:rsidR="009B3A85" w:rsidRPr="006666DF" w:rsidRDefault="009B3A85" w:rsidP="009B3A8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66DF">
        <w:rPr>
          <w:rFonts w:ascii="Times New Roman" w:hAnsi="Times New Roman" w:cs="Times New Roman"/>
          <w:sz w:val="26"/>
          <w:szCs w:val="26"/>
        </w:rPr>
        <w:t>– целесообразно организовывать такие виды деятельности обучающихся, которые они могут использовать в изучении вопросов местного, глобального и межкультурного значения, в процессе рассуждений и в работе с информацией;</w:t>
      </w:r>
    </w:p>
    <w:p w:rsidR="003B7383" w:rsidRPr="006666DF" w:rsidRDefault="003B7383" w:rsidP="003B7383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 xml:space="preserve">Следует проводить большее количество методических обучающих семинаров для педагогов по ведению с обучающимися исследовательской и проектной деятельности. </w:t>
      </w:r>
    </w:p>
    <w:p w:rsidR="003B7383" w:rsidRPr="006666DF" w:rsidRDefault="003B7383" w:rsidP="003B7383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>Как показывает практика, большинство обучающихся приходят на встречи, консультации, но есть процент обучающихся, которые категорически отказывались выполнять данную работу и не приходили ни разу на консультации по разным причинам.</w:t>
      </w:r>
    </w:p>
    <w:p w:rsidR="003B7383" w:rsidRPr="006666DF" w:rsidRDefault="003B7383" w:rsidP="003B7383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6DF">
        <w:rPr>
          <w:rFonts w:ascii="Times New Roman" w:eastAsia="Times New Roman" w:hAnsi="Times New Roman" w:cs="Times New Roman"/>
          <w:sz w:val="26"/>
          <w:szCs w:val="26"/>
        </w:rPr>
        <w:t>Наставниками данным участникам было предложено работать в компьютерном классе, но и это не повлияло на обучающихся. Также были обращения к классным руководителям, были беседы и встречи с родителями.</w:t>
      </w:r>
    </w:p>
    <w:p w:rsidR="000D7EAB" w:rsidRPr="006666DF" w:rsidRDefault="000D7EAB">
      <w:pPr>
        <w:rPr>
          <w:rFonts w:ascii="Times New Roman" w:hAnsi="Times New Roman" w:cs="Times New Roman"/>
          <w:sz w:val="26"/>
          <w:szCs w:val="26"/>
        </w:rPr>
      </w:pPr>
    </w:p>
    <w:sectPr w:rsidR="000D7EAB" w:rsidRPr="006666DF" w:rsidSect="00A53A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6A"/>
    <w:rsid w:val="000D7EAB"/>
    <w:rsid w:val="001909D6"/>
    <w:rsid w:val="003B7383"/>
    <w:rsid w:val="006666DF"/>
    <w:rsid w:val="009B3A85"/>
    <w:rsid w:val="00A53A7E"/>
    <w:rsid w:val="00E9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0713"/>
  <w15:chartTrackingRefBased/>
  <w15:docId w15:val="{5F74E50F-CFA0-4423-94E7-A33DB6B5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7383"/>
    <w:pPr>
      <w:ind w:left="720"/>
      <w:contextualSpacing/>
    </w:pPr>
  </w:style>
  <w:style w:type="table" w:styleId="a4">
    <w:name w:val="Table Grid"/>
    <w:basedOn w:val="a1"/>
    <w:uiPriority w:val="39"/>
    <w:rsid w:val="003B73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66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Маркина ГВ</cp:lastModifiedBy>
  <cp:revision>3</cp:revision>
  <dcterms:created xsi:type="dcterms:W3CDTF">2023-04-20T10:31:00Z</dcterms:created>
  <dcterms:modified xsi:type="dcterms:W3CDTF">2023-04-21T04:27:00Z</dcterms:modified>
</cp:coreProperties>
</file>